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A0" w:rsidRPr="00C66EA0" w:rsidRDefault="00C66EA0" w:rsidP="00C66EA0">
      <w:pPr>
        <w:spacing w:after="0" w:line="240" w:lineRule="auto"/>
        <w:jc w:val="center"/>
        <w:rPr>
          <w:rFonts w:ascii="Tahoma" w:eastAsia="Times New Roman" w:hAnsi="Tahoma" w:cs="Tahoma"/>
          <w:color w:val="000000"/>
          <w:sz w:val="18"/>
          <w:szCs w:val="18"/>
          <w:lang w:eastAsia="ru-RU"/>
        </w:rPr>
      </w:pPr>
      <w:r w:rsidRPr="00C66EA0">
        <w:rPr>
          <w:rFonts w:ascii="Tahoma" w:eastAsia="Times New Roman" w:hAnsi="Tahoma" w:cs="Tahoma"/>
          <w:b/>
          <w:bCs/>
          <w:color w:val="000000"/>
          <w:sz w:val="18"/>
          <w:lang w:eastAsia="ru-RU"/>
        </w:rPr>
        <w:t>Федеральный закон от 25 декабря 2008 г. N 273-ФЗ</w:t>
      </w:r>
      <w:r w:rsidRPr="00C66EA0">
        <w:rPr>
          <w:rFonts w:ascii="Tahoma" w:eastAsia="Times New Roman" w:hAnsi="Tahoma" w:cs="Tahoma"/>
          <w:b/>
          <w:bCs/>
          <w:color w:val="000000"/>
          <w:sz w:val="18"/>
          <w:szCs w:val="18"/>
          <w:lang w:eastAsia="ru-RU"/>
        </w:rPr>
        <w:br/>
      </w:r>
      <w:r w:rsidRPr="00C66EA0">
        <w:rPr>
          <w:rFonts w:ascii="Tahoma" w:eastAsia="Times New Roman" w:hAnsi="Tahoma" w:cs="Tahoma"/>
          <w:b/>
          <w:bCs/>
          <w:color w:val="000000"/>
          <w:sz w:val="18"/>
          <w:szCs w:val="18"/>
          <w:lang w:eastAsia="ru-RU"/>
        </w:rPr>
        <w:br/>
      </w:r>
      <w:r w:rsidRPr="00C66EA0">
        <w:rPr>
          <w:rFonts w:ascii="Tahoma" w:eastAsia="Times New Roman" w:hAnsi="Tahoma" w:cs="Tahoma"/>
          <w:b/>
          <w:bCs/>
          <w:color w:val="000000"/>
          <w:sz w:val="18"/>
          <w:lang w:eastAsia="ru-RU"/>
        </w:rPr>
        <w:t>"О противодействии коррупции"</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Принят Государственной Думой 19 декабря 2008 года</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Одобрен Советом Федерации 22 декабря 2008 года</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 </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 </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1. Основные понятия, используемые в настоящем Федеральном законе</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Для целей настоящего Федерального закона используются следующие основные понятия:</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 коррупция:</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б) совершение деяний, указанных в подпункте "а" настоящего пункта, от имени или в интересах юридического лица;</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а) по предупреждению коррупции, в том числе по выявлению и последующему устранению причин коррупции (профилактика коррупции);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б) по выявлению, предупреждению, пресечению, раскрытию и расследованию коррупционных правонарушений (борьба с коррупцией);</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в) по минимизации и (или) ликвидации последствий коррупционных правонарушений.</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3) нормативные правовые акты Российской Федерации: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б) законы и иные нормативные правовые акты органов государственной власти субъектов Российской Федерации;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в) муниципальные правовые акты;</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w:t>
      </w:r>
      <w:r w:rsidRPr="00C66EA0">
        <w:rPr>
          <w:rFonts w:ascii="Tahoma" w:eastAsia="Times New Roman" w:hAnsi="Tahoma" w:cs="Tahoma"/>
          <w:color w:val="000000"/>
          <w:sz w:val="18"/>
          <w:szCs w:val="18"/>
          <w:lang w:eastAsia="ru-RU"/>
        </w:rPr>
        <w:lastRenderedPageBreak/>
        <w:t>осуществление определенного вида деятельности и (или) отдельных действий данной организацией, либо готовить проекты таких решений.</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 </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2. Правовая основа противодействия коррупции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 </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3. Основные принципы противодействия коррупции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Противодействие коррупции в Российской Федерации основывается на следующих основных принципах:</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 признание, обеспечение и защита основных прав и свобод человека и гражданина;</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 законность;</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3) публичность и открытость деятельности государственных органов и органов местного самоуправления;</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4) неотвратимость ответственности за совершение коррупционных правонарушений;</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6) приоритетное применение мер по предупреждению коррупции;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7) сотрудничество государства с институтами гражданского общества, международными организациями и физическими лицами.</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 </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4. Международное сотрудничество Российской Федерации в области противодействия коррупции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 выявления имущества, полученного в результате совершения коррупционных правонарушений или служащего средством их совершения;</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3) предоставления в надлежащих случаях предметов или образцов веществ для проведения исследований или судебных экспертиз;</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4) обмена информацией по вопросам противодействия коррупции;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5) координации деятельности по профилактике коррупции и борьбе с коррупцией.</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 xml:space="preserve">2. Иностранные граждане, лица без гражданства, не проживающие постоянно в Российской Федерации, </w:t>
      </w:r>
      <w:r w:rsidRPr="00C66EA0">
        <w:rPr>
          <w:rFonts w:ascii="Tahoma" w:eastAsia="Times New Roman" w:hAnsi="Tahoma" w:cs="Tahoma"/>
          <w:color w:val="000000"/>
          <w:sz w:val="18"/>
          <w:szCs w:val="18"/>
          <w:lang w:eastAsia="ru-RU"/>
        </w:rPr>
        <w:lastRenderedPageBreak/>
        <w:t>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 </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5. Организационные основы противодействия коррупции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 Президент Российской Федерации: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 определяет основные направления государственной политики в области противодействия коррупции;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 xml:space="preserve">7. Счетная палата Российской Федерации в пределах своих полномочий обеспечивает противодействие </w:t>
      </w:r>
      <w:r w:rsidRPr="00C66EA0">
        <w:rPr>
          <w:rFonts w:ascii="Tahoma" w:eastAsia="Times New Roman" w:hAnsi="Tahoma" w:cs="Tahoma"/>
          <w:color w:val="000000"/>
          <w:sz w:val="18"/>
          <w:szCs w:val="18"/>
          <w:lang w:eastAsia="ru-RU"/>
        </w:rPr>
        <w:lastRenderedPageBreak/>
        <w:t>коррупции в соответствии с Федеральным законом от 11 января 1995 года N 4-ФЗ "О Счетной палате Российской Федерации".</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 </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6. Меры по профилактике коррупции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Профилактика коррупции осуществляется путем применения следующих основных мер:</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 формирование в обществе нетерпимости к коррупционному поведению;</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 антикоррупционная экспертиза правовых актов и их проектов;</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 </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7. Основные направления деятельности государственных органов по повышению эффективности противодействия коррупции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 проведение единой государственной политики в области противодействия коррупции;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w:t>
      </w:r>
      <w:r w:rsidRPr="00C66EA0">
        <w:rPr>
          <w:rFonts w:ascii="Tahoma" w:eastAsia="Times New Roman" w:hAnsi="Tahoma" w:cs="Tahoma"/>
          <w:color w:val="000000"/>
          <w:sz w:val="18"/>
          <w:szCs w:val="18"/>
          <w:lang w:eastAsia="ru-RU"/>
        </w:rPr>
        <w:lastRenderedPageBreak/>
        <w:t>формирование в обществе негативного отношения к коррупционному поведению;</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4) совершенствование системы и структуры государственных органов, создание механизмов общественного контроля за их деятельностью;</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8) обеспечение независимости средств массовой информации;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9) неукоснительное соблюдение принципов независимости судей и невмешательства в судебную деятельность;</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10) совершенствование организации деятельности правоохранительных и контролирующих органов по противодействию коррупции;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11) совершенствование порядка прохождения государственной и муниципальной службы;</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13) устранение необоснованных запретов и ограничений, особенно в области экономической деятельности;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15) повышение уровня оплаты труда и социальной защищенности государственных и муниципальных служащих;</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17) усиление контроля за решением вопросов, содержащихся в обращениях граждан и юридических лиц;</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18) передача части функций государственных органов саморегулируемым организациям, а также иным негосударственным организациям;</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 </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lastRenderedPageBreak/>
        <w:t>Статья 8. Обязанность представлять сведения о доходах, об имуществе и обязательствах имущественного характера</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4) лица, замещающие должности, указанные в пунктах 1-3 настоящей части.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w:t>
      </w:r>
      <w:r w:rsidRPr="00C66EA0">
        <w:rPr>
          <w:rFonts w:ascii="Tahoma" w:eastAsia="Times New Roman" w:hAnsi="Tahoma" w:cs="Tahoma"/>
          <w:color w:val="000000"/>
          <w:sz w:val="18"/>
          <w:szCs w:val="18"/>
          <w:lang w:eastAsia="ru-RU"/>
        </w:rPr>
        <w:lastRenderedPageBreak/>
        <w:t>доходах, об имуществе и обязательствах имущественного характера гражданина или лица, указанных в пунктах 1-3 части 1 настоящей статьи, супруги (супруга) и несовершеннолетних детей данного гражданина или лица.</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 </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 </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10. Конфликт интересов на государственной и муниципальной службе</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 xml:space="preserve">1. Под конфликтом интересов на государственной или муниципальной службе в настоящем Федеральном </w:t>
      </w:r>
      <w:r w:rsidRPr="00C66EA0">
        <w:rPr>
          <w:rFonts w:ascii="Tahoma" w:eastAsia="Times New Roman" w:hAnsi="Tahoma" w:cs="Tahoma"/>
          <w:color w:val="000000"/>
          <w:sz w:val="18"/>
          <w:szCs w:val="18"/>
          <w:lang w:eastAsia="ru-RU"/>
        </w:rPr>
        <w:lastRenderedPageBreak/>
        <w:t>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 </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11. Порядок предотвращения и урегулирования конфликта интересов на государственной и муниципальной службе</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 Государственный или муниципальный служащий обязан принимать меры по недопущению любой возможности возникновения конфликта интересов.</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 </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sidRPr="00C66EA0">
        <w:rPr>
          <w:rFonts w:ascii="Tahoma" w:eastAsia="Times New Roman" w:hAnsi="Tahoma" w:cs="Tahoma"/>
          <w:color w:val="000000"/>
          <w:sz w:val="18"/>
          <w:szCs w:val="18"/>
          <w:lang w:eastAsia="ru-RU"/>
        </w:rPr>
        <w:lastRenderedPageBreak/>
        <w:t>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 </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lastRenderedPageBreak/>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 замещать другие должности в органах государственной власти и органах местного самоуправления;</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w:t>
      </w:r>
      <w:r w:rsidRPr="00C66EA0">
        <w:rPr>
          <w:rFonts w:ascii="Tahoma" w:eastAsia="Times New Roman" w:hAnsi="Tahoma" w:cs="Tahoma"/>
          <w:color w:val="000000"/>
          <w:sz w:val="18"/>
          <w:szCs w:val="18"/>
          <w:lang w:eastAsia="ru-RU"/>
        </w:rPr>
        <w:lastRenderedPageBreak/>
        <w:t>иностранными организациями;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rsidRPr="00C66EA0">
        <w:rPr>
          <w:rFonts w:ascii="Tahoma" w:eastAsia="Times New Roman" w:hAnsi="Tahoma" w:cs="Tahoma"/>
          <w:color w:val="000000"/>
          <w:sz w:val="18"/>
          <w:szCs w:val="18"/>
          <w:lang w:eastAsia="ru-RU"/>
        </w:rPr>
        <w:lastRenderedPageBreak/>
        <w:t>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12.5. Установление иных запретов, ограничений, обязательств и правил служебного поведения</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13. Ответственность физических лиц за коррупционные правонарушения</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 </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 непринятия лицом мер по предотвращению и (или) урегулированию конфликта интересов, стороной которого оно является;</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4) осуществления лицом предпринимательской деятельности;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w:t>
      </w:r>
      <w:r w:rsidRPr="00C66EA0">
        <w:rPr>
          <w:rFonts w:ascii="Tahoma" w:eastAsia="Times New Roman" w:hAnsi="Tahoma" w:cs="Tahoma"/>
          <w:color w:val="000000"/>
          <w:sz w:val="18"/>
          <w:szCs w:val="18"/>
          <w:lang w:eastAsia="ru-RU"/>
        </w:rPr>
        <w:lastRenderedPageBreak/>
        <w:t>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Статья 14. Ответственность юридических лиц за коррупционные правонарушения</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 </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Президент Российской Федерации                                Д. Медведев</w:t>
      </w:r>
    </w:p>
    <w:p w:rsidR="00C66EA0" w:rsidRPr="00C66EA0" w:rsidRDefault="00C66EA0" w:rsidP="00C66EA0">
      <w:pPr>
        <w:spacing w:after="0" w:line="240" w:lineRule="auto"/>
        <w:rPr>
          <w:rFonts w:ascii="Times New Roman" w:eastAsia="Times New Roman" w:hAnsi="Times New Roman" w:cs="Times New Roman"/>
          <w:sz w:val="24"/>
          <w:szCs w:val="24"/>
          <w:lang w:eastAsia="ru-RU"/>
        </w:rPr>
      </w:pPr>
      <w:r w:rsidRPr="00C66EA0">
        <w:rPr>
          <w:rFonts w:ascii="Tahoma" w:eastAsia="Times New Roman" w:hAnsi="Tahoma" w:cs="Tahoma"/>
          <w:color w:val="000000"/>
          <w:sz w:val="18"/>
          <w:szCs w:val="18"/>
          <w:lang w:eastAsia="ru-RU"/>
        </w:rPr>
        <w:br/>
      </w:r>
    </w:p>
    <w:p w:rsidR="00C66EA0" w:rsidRPr="00C66EA0" w:rsidRDefault="00C66EA0" w:rsidP="00C66EA0">
      <w:pPr>
        <w:spacing w:after="0" w:line="240" w:lineRule="auto"/>
        <w:jc w:val="both"/>
        <w:rPr>
          <w:rFonts w:ascii="Tahoma" w:eastAsia="Times New Roman" w:hAnsi="Tahoma" w:cs="Tahoma"/>
          <w:color w:val="000000"/>
          <w:sz w:val="18"/>
          <w:szCs w:val="18"/>
          <w:lang w:eastAsia="ru-RU"/>
        </w:rPr>
      </w:pPr>
      <w:r w:rsidRPr="00C66EA0">
        <w:rPr>
          <w:rFonts w:ascii="Tahoma" w:eastAsia="Times New Roman" w:hAnsi="Tahoma" w:cs="Tahoma"/>
          <w:color w:val="000000"/>
          <w:sz w:val="18"/>
          <w:szCs w:val="18"/>
          <w:lang w:eastAsia="ru-RU"/>
        </w:rPr>
        <w:t>Москва, Кремль</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25 декабря 2008 г.</w:t>
      </w:r>
      <w:r w:rsidRPr="00C66EA0">
        <w:rPr>
          <w:rFonts w:ascii="Tahoma" w:eastAsia="Times New Roman" w:hAnsi="Tahoma" w:cs="Tahoma"/>
          <w:color w:val="000000"/>
          <w:sz w:val="18"/>
          <w:szCs w:val="18"/>
          <w:lang w:eastAsia="ru-RU"/>
        </w:rPr>
        <w:br/>
      </w:r>
      <w:r w:rsidRPr="00C66EA0">
        <w:rPr>
          <w:rFonts w:ascii="Tahoma" w:eastAsia="Times New Roman" w:hAnsi="Tahoma" w:cs="Tahoma"/>
          <w:color w:val="000000"/>
          <w:sz w:val="18"/>
          <w:szCs w:val="18"/>
          <w:lang w:eastAsia="ru-RU"/>
        </w:rPr>
        <w:br/>
        <w:t>N 273-ФЗ </w:t>
      </w:r>
    </w:p>
    <w:p w:rsidR="009B39FF" w:rsidRDefault="009B39FF"/>
    <w:sectPr w:rsidR="009B39FF" w:rsidSect="009B3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6EA0"/>
    <w:rsid w:val="009B39FF"/>
    <w:rsid w:val="00A7192B"/>
    <w:rsid w:val="00C66EA0"/>
    <w:rsid w:val="00CF2D46"/>
    <w:rsid w:val="00F02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6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6EA0"/>
    <w:rPr>
      <w:b/>
      <w:bCs/>
    </w:rPr>
  </w:style>
</w:styles>
</file>

<file path=word/webSettings.xml><?xml version="1.0" encoding="utf-8"?>
<w:webSettings xmlns:r="http://schemas.openxmlformats.org/officeDocument/2006/relationships" xmlns:w="http://schemas.openxmlformats.org/wordprocessingml/2006/main">
  <w:divs>
    <w:div w:id="17383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7371</Words>
  <Characters>42016</Characters>
  <Application>Microsoft Office Word</Application>
  <DocSecurity>0</DocSecurity>
  <Lines>350</Lines>
  <Paragraphs>98</Paragraphs>
  <ScaleCrop>false</ScaleCrop>
  <Company/>
  <LinksUpToDate>false</LinksUpToDate>
  <CharactersWithSpaces>49289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2015-10-07T10:28:00Z</dcterms:created>
  <dcterms:modified xsi:type="dcterms:W3CDTF">2015-10-07T10:28:00Z</dcterms:modified>
</cp:coreProperties>
</file>