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2" w:rsidRPr="00781092" w:rsidRDefault="00781092" w:rsidP="00781092">
      <w:pPr>
        <w:shd w:val="clear" w:color="auto" w:fill="FFFFFF"/>
        <w:spacing w:before="360" w:after="240" w:line="240" w:lineRule="auto"/>
        <w:outlineLvl w:val="1"/>
        <w:rPr>
          <w:rFonts w:ascii="Arial" w:eastAsia="Times New Roman" w:hAnsi="Arial" w:cs="Arial"/>
          <w:b/>
          <w:bCs/>
          <w:color w:val="333333"/>
          <w:sz w:val="23"/>
          <w:szCs w:val="23"/>
          <w:lang w:eastAsia="ru-RU"/>
        </w:rPr>
      </w:pPr>
      <w:r w:rsidRPr="00781092">
        <w:rPr>
          <w:rFonts w:ascii="Arial" w:eastAsia="Times New Roman" w:hAnsi="Arial" w:cs="Arial"/>
          <w:b/>
          <w:bCs/>
          <w:color w:val="333333"/>
          <w:sz w:val="23"/>
          <w:szCs w:val="23"/>
          <w:lang w:eastAsia="ru-RU"/>
        </w:rPr>
        <w:t>Международная конвенция о борьбе с финансированием терроризма</w:t>
      </w:r>
    </w:p>
    <w:p w:rsidR="00781092" w:rsidRPr="00781092" w:rsidRDefault="00781092" w:rsidP="00781092">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781092">
        <w:rPr>
          <w:rFonts w:ascii="Arial" w:eastAsia="Times New Roman" w:hAnsi="Arial" w:cs="Arial"/>
          <w:i/>
          <w:iCs/>
          <w:color w:val="333333"/>
          <w:sz w:val="20"/>
          <w:szCs w:val="20"/>
          <w:lang w:eastAsia="ru-RU"/>
        </w:rPr>
        <w:t>Принята</w:t>
      </w:r>
      <w:r w:rsidRPr="00781092">
        <w:rPr>
          <w:rFonts w:ascii="Arial" w:eastAsia="Times New Roman" w:hAnsi="Arial" w:cs="Arial"/>
          <w:i/>
          <w:iCs/>
          <w:color w:val="333333"/>
          <w:sz w:val="20"/>
          <w:lang w:eastAsia="ru-RU"/>
        </w:rPr>
        <w:t> </w:t>
      </w:r>
      <w:hyperlink r:id="rId4" w:history="1">
        <w:r w:rsidRPr="00781092">
          <w:rPr>
            <w:rFonts w:ascii="Arial" w:eastAsia="Times New Roman" w:hAnsi="Arial" w:cs="Arial"/>
            <w:i/>
            <w:iCs/>
            <w:color w:val="333333"/>
            <w:sz w:val="20"/>
            <w:u w:val="single"/>
            <w:lang w:eastAsia="ru-RU"/>
          </w:rPr>
          <w:t>резолюцией 54/109</w:t>
        </w:r>
      </w:hyperlink>
      <w:r w:rsidRPr="00781092">
        <w:rPr>
          <w:rFonts w:ascii="Arial" w:eastAsia="Times New Roman" w:hAnsi="Arial" w:cs="Arial"/>
          <w:i/>
          <w:iCs/>
          <w:color w:val="333333"/>
          <w:sz w:val="20"/>
          <w:lang w:eastAsia="ru-RU"/>
        </w:rPr>
        <w:t> </w:t>
      </w:r>
      <w:r w:rsidRPr="00781092">
        <w:rPr>
          <w:rFonts w:ascii="Arial" w:eastAsia="Times New Roman" w:hAnsi="Arial" w:cs="Arial"/>
          <w:i/>
          <w:iCs/>
          <w:color w:val="333333"/>
          <w:sz w:val="20"/>
          <w:szCs w:val="20"/>
          <w:lang w:eastAsia="ru-RU"/>
        </w:rPr>
        <w:t>Генеральной Ассамблеи ООН от 9 декабря 1999 года</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Преамбула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Государства — участники настоящей Конвенции,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принимая во внимание</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цели и принципы</w:t>
      </w:r>
      <w:r w:rsidRPr="00781092">
        <w:rPr>
          <w:rFonts w:ascii="Arial" w:eastAsia="Times New Roman" w:hAnsi="Arial" w:cs="Arial"/>
          <w:color w:val="333333"/>
          <w:sz w:val="20"/>
          <w:lang w:eastAsia="ru-RU"/>
        </w:rPr>
        <w:t> </w:t>
      </w:r>
      <w:hyperlink r:id="rId5" w:history="1">
        <w:r w:rsidRPr="00781092">
          <w:rPr>
            <w:rFonts w:ascii="Arial" w:eastAsia="Times New Roman" w:hAnsi="Arial" w:cs="Arial"/>
            <w:color w:val="333333"/>
            <w:sz w:val="20"/>
            <w:u w:val="single"/>
            <w:lang w:eastAsia="ru-RU"/>
          </w:rPr>
          <w:t>Устава Организации Объединенных Наций</w:t>
        </w:r>
      </w:hyperlink>
      <w:r w:rsidRPr="00781092">
        <w:rPr>
          <w:rFonts w:ascii="Arial" w:eastAsia="Times New Roman" w:hAnsi="Arial" w:cs="Arial"/>
          <w:color w:val="333333"/>
          <w:sz w:val="20"/>
          <w:szCs w:val="20"/>
          <w:lang w:eastAsia="ru-RU"/>
        </w:rPr>
        <w:t>,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будучи глубоко обеспокоены</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эскалацией актов терроризма во всех его формах и проявлениях по всему миру,</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ссылаясь</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на</w:t>
      </w:r>
      <w:r w:rsidRPr="00781092">
        <w:rPr>
          <w:rFonts w:ascii="Arial" w:eastAsia="Times New Roman" w:hAnsi="Arial" w:cs="Arial"/>
          <w:color w:val="333333"/>
          <w:sz w:val="20"/>
          <w:lang w:eastAsia="ru-RU"/>
        </w:rPr>
        <w:t> </w:t>
      </w:r>
      <w:hyperlink r:id="rId6" w:history="1">
        <w:r w:rsidRPr="00781092">
          <w:rPr>
            <w:rFonts w:ascii="Arial" w:eastAsia="Times New Roman" w:hAnsi="Arial" w:cs="Arial"/>
            <w:color w:val="333333"/>
            <w:sz w:val="20"/>
            <w:u w:val="single"/>
            <w:lang w:eastAsia="ru-RU"/>
          </w:rPr>
          <w:t>Декларацию по случаю пятидесятой годовщины Организации Объединенных Наций</w:t>
        </w:r>
      </w:hyperlink>
      <w:r w:rsidRPr="00781092">
        <w:rPr>
          <w:rFonts w:ascii="Arial" w:eastAsia="Times New Roman" w:hAnsi="Arial" w:cs="Arial"/>
          <w:color w:val="333333"/>
          <w:sz w:val="20"/>
          <w:szCs w:val="20"/>
          <w:lang w:eastAsia="ru-RU"/>
        </w:rPr>
        <w:t>, содержащуюся в</w:t>
      </w:r>
      <w:r w:rsidRPr="00781092">
        <w:rPr>
          <w:rFonts w:ascii="Arial" w:eastAsia="Times New Roman" w:hAnsi="Arial" w:cs="Arial"/>
          <w:color w:val="333333"/>
          <w:sz w:val="20"/>
          <w:lang w:eastAsia="ru-RU"/>
        </w:rPr>
        <w:t> </w:t>
      </w:r>
      <w:hyperlink r:id="rId7" w:history="1">
        <w:r w:rsidRPr="00781092">
          <w:rPr>
            <w:rFonts w:ascii="Arial" w:eastAsia="Times New Roman" w:hAnsi="Arial" w:cs="Arial"/>
            <w:color w:val="333333"/>
            <w:sz w:val="20"/>
            <w:u w:val="single"/>
            <w:lang w:eastAsia="ru-RU"/>
          </w:rPr>
          <w:t>резолюции 50/6</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Генеральной Ассамблеи от 24 октября 1995 года,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ссылаясь также</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на все соответствующие резолюции Генеральной Ассамблеи по данному вопросу, включая</w:t>
      </w:r>
      <w:r w:rsidRPr="00781092">
        <w:rPr>
          <w:rFonts w:ascii="Arial" w:eastAsia="Times New Roman" w:hAnsi="Arial" w:cs="Arial"/>
          <w:color w:val="333333"/>
          <w:sz w:val="20"/>
          <w:lang w:eastAsia="ru-RU"/>
        </w:rPr>
        <w:t> </w:t>
      </w:r>
      <w:hyperlink r:id="rId8" w:history="1">
        <w:r w:rsidRPr="00781092">
          <w:rPr>
            <w:rFonts w:ascii="Arial" w:eastAsia="Times New Roman" w:hAnsi="Arial" w:cs="Arial"/>
            <w:color w:val="333333"/>
            <w:sz w:val="20"/>
            <w:u w:val="single"/>
            <w:lang w:eastAsia="ru-RU"/>
          </w:rPr>
          <w:t>резолюцию 49/60</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от 9 декабря 1994 года и приложение к ней, содержащее</w:t>
      </w:r>
      <w:hyperlink r:id="rId9" w:history="1">
        <w:r w:rsidRPr="00781092">
          <w:rPr>
            <w:rFonts w:ascii="Arial" w:eastAsia="Times New Roman" w:hAnsi="Arial" w:cs="Arial"/>
            <w:color w:val="333333"/>
            <w:sz w:val="20"/>
            <w:u w:val="single"/>
            <w:lang w:eastAsia="ru-RU"/>
          </w:rPr>
          <w:t>Декларацию о мерах по ликвидации международного терроризма</w:t>
        </w:r>
      </w:hyperlink>
      <w:r w:rsidRPr="00781092">
        <w:rPr>
          <w:rFonts w:ascii="Arial" w:eastAsia="Times New Roman" w:hAnsi="Arial" w:cs="Arial"/>
          <w:color w:val="333333"/>
          <w:sz w:val="20"/>
          <w:szCs w:val="20"/>
          <w:lang w:eastAsia="ru-RU"/>
        </w:rPr>
        <w:t>, в которой</w:t>
      </w:r>
      <w:r w:rsidRPr="00781092">
        <w:rPr>
          <w:rFonts w:ascii="Arial" w:eastAsia="Times New Roman" w:hAnsi="Arial" w:cs="Arial"/>
          <w:color w:val="333333"/>
          <w:sz w:val="20"/>
          <w:lang w:eastAsia="ru-RU"/>
        </w:rPr>
        <w:t> </w:t>
      </w:r>
      <w:hyperlink r:id="rId10" w:history="1">
        <w:r w:rsidRPr="00781092">
          <w:rPr>
            <w:rFonts w:ascii="Arial" w:eastAsia="Times New Roman" w:hAnsi="Arial" w:cs="Arial"/>
            <w:color w:val="333333"/>
            <w:sz w:val="20"/>
            <w:u w:val="single"/>
            <w:lang w:eastAsia="ru-RU"/>
          </w:rPr>
          <w:t>государства — члены Организации Объединенных Наций</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торжественно подтвердили,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отмечая,</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w:t>
      </w:r>
      <w:r w:rsidRPr="00781092">
        <w:rPr>
          <w:rFonts w:ascii="Arial" w:eastAsia="Times New Roman" w:hAnsi="Arial" w:cs="Arial"/>
          <w:color w:val="333333"/>
          <w:sz w:val="20"/>
          <w:lang w:eastAsia="ru-RU"/>
        </w:rPr>
        <w:t> </w:t>
      </w:r>
      <w:hyperlink r:id="rId11" w:history="1">
        <w:r w:rsidRPr="00781092">
          <w:rPr>
            <w:rFonts w:ascii="Arial" w:eastAsia="Times New Roman" w:hAnsi="Arial" w:cs="Arial"/>
            <w:color w:val="333333"/>
            <w:sz w:val="20"/>
            <w:u w:val="single"/>
            <w:lang w:eastAsia="ru-RU"/>
          </w:rPr>
          <w:t>ликвидации терроризма</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во всех его формах и проявлениях с целью обеспечить наличие всеобъемлющих правовых рамок, включающих все аспекты этого вопроса,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ссылаясь</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на подпункт</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(f)</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3</w:t>
      </w:r>
      <w:r w:rsidRPr="00781092">
        <w:rPr>
          <w:rFonts w:ascii="Arial" w:eastAsia="Times New Roman" w:hAnsi="Arial" w:cs="Arial"/>
          <w:color w:val="333333"/>
          <w:sz w:val="20"/>
          <w:lang w:eastAsia="ru-RU"/>
        </w:rPr>
        <w:t> </w:t>
      </w:r>
      <w:hyperlink r:id="rId12" w:history="1">
        <w:r w:rsidRPr="00781092">
          <w:rPr>
            <w:rFonts w:ascii="Arial" w:eastAsia="Times New Roman" w:hAnsi="Arial" w:cs="Arial"/>
            <w:color w:val="333333"/>
            <w:sz w:val="20"/>
            <w:u w:val="single"/>
            <w:lang w:eastAsia="ru-RU"/>
          </w:rPr>
          <w:t>резолюции 51/210</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Генеральной Ассамблеи от 17 декабря 1996 года, в котором Ассамблея призвала все государства предпринять шаги, с тем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 коей мере не ущемляя при этом свободу движения законного капитала, и активизировать обмен информацией о международном движении таких средств,</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ссылаясь также</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на</w:t>
      </w:r>
      <w:r w:rsidRPr="00781092">
        <w:rPr>
          <w:rFonts w:ascii="Arial" w:eastAsia="Times New Roman" w:hAnsi="Arial" w:cs="Arial"/>
          <w:color w:val="333333"/>
          <w:sz w:val="20"/>
          <w:lang w:eastAsia="ru-RU"/>
        </w:rPr>
        <w:t> </w:t>
      </w:r>
      <w:hyperlink r:id="rId13" w:history="1">
        <w:r w:rsidRPr="00781092">
          <w:rPr>
            <w:rFonts w:ascii="Arial" w:eastAsia="Times New Roman" w:hAnsi="Arial" w:cs="Arial"/>
            <w:color w:val="333333"/>
            <w:sz w:val="20"/>
            <w:u w:val="single"/>
            <w:lang w:eastAsia="ru-RU"/>
          </w:rPr>
          <w:t>резолюцию 52/165</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(a)–(f)</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3 ее резолюции 51/210 от 17 декабря 1996 года,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ссылаясь далее</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на</w:t>
      </w:r>
      <w:r w:rsidRPr="00781092">
        <w:rPr>
          <w:rFonts w:ascii="Arial" w:eastAsia="Times New Roman" w:hAnsi="Arial" w:cs="Arial"/>
          <w:color w:val="333333"/>
          <w:sz w:val="20"/>
          <w:lang w:eastAsia="ru-RU"/>
        </w:rPr>
        <w:t> </w:t>
      </w:r>
      <w:hyperlink r:id="rId14" w:history="1">
        <w:r w:rsidRPr="00781092">
          <w:rPr>
            <w:rFonts w:ascii="Arial" w:eastAsia="Times New Roman" w:hAnsi="Arial" w:cs="Arial"/>
            <w:color w:val="333333"/>
            <w:sz w:val="20"/>
            <w:u w:val="single"/>
            <w:lang w:eastAsia="ru-RU"/>
          </w:rPr>
          <w:t>резолюцию 53/108</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учитывая,</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что финансирование терроризма является предметом серьезной озабоченности международного сообщества в целом,</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lastRenderedPageBreak/>
        <w:t>отмечая,</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что количество и тяжесть актов международного терроризма зависят от финансирования, к которому террористы могут получить доступ,</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отмечая также,</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что в существующих многосторонних правовых документах такое финансирование конкретно не рассматривается,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будучи убеждены</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в настоятельной необходимости крепить международное сотрудничество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договорились о нижеследующем:</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Для целей настоящей Конвенции: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ограничиваясь ими.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«Поступления» означают любые средства, полученные или приобретенные прямо или косвенно, посредством совершения преступления, указанного в статье 2.</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какого-либо деяния, представляющего собой преступление согласно сфере применения одного из договоров, перечисленных в приложении, и содержащемуся в нем определению;</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 воздержаться от его совершения.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приложении, может заявить, что при применении настоящей Конвенции к данному государству-участнику считается, что этот договор не включен в приложение, упомянутое в подпункте</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lastRenderedPageBreak/>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Когда государство-участник перестает быть стороной одного из договоров, перечисленных в приложении, оно может сделать, как это предусматривается в настоящей статье, заявление в отношении этого договора.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Для того чтобы какое-либо деяние составило преступление, указанное в пункте 1, необязательно, чтобы средства фактически использовались для совершения преступления, упомянутого в подпунктах</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или</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Любое лицо также совершает преступление, если оно пытается совершить какое-либо из преступлений, указанных в пункте 1 настоящей статьи.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5. Любое лицо также совершает преступление, если оно:</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участвует в качестве соучастника в совершении какого-либо из преступлений, указанных в пунктах 1 или 4 настоящей статьи;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организует других лиц или руководит ими с целью совершения какого-либо из преступлений, указанных в пунктах 1 или 4 настоящей статьи;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способствует совершению одного или нескольких преступлений, указанных в пунктах 1 или 4 настоящей статьи, группой лиц, действующих с общей целью. Такое содействие должно носить умышленный характер и должно оказываться: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 либо в целях поддержки преступной деятельности или преcтупных целей группы, когда такая деятельность или цель предполагают совершение одного из преступлений, указанных в пункте 1 настоящей статьи;</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ii) либо при осознании умысла группы совершить одно из преступлений, указанных в пункте 1 настоящей статьи.</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3</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7, что не исключает применения к этим случаям при соответствующих обстоятельствах положений статей 12–18.</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4</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Каждое государство-участник принимает такие меры, которые могут оказаться необходимыми: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для признания уголовными преступлениями согласно его внутреннему праву преступлений, указанных в статье 2;</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для установления за эти преступления соразмерных наказаний с учетом тяжести этих преступлений.</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5</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статье 2. Такая ответственность может носить уголовный, гражданский или административный характер.</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Такая ответственность наступает без ущерба для уголовной ответственности физических лиц, совершивших эти преступления.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lastRenderedPageBreak/>
        <w:t>3. Каждое государство-участник обеспечивает, в частности, чтобы к юридическим лицам, несущим ответственность согласно пункту 1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6</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7</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2, когда: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совершено на территории этого государства;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совершено гражданином этого государства.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Государство-участник может также установить свою юрисдикцию в отношении любого такого преступления, когда: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было направлено на совершение преступления, указанного в подпункте</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szCs w:val="20"/>
          <w:lang w:eastAsia="ru-RU"/>
        </w:rPr>
        <w:t>или</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 статьи 2, на территории или в отношении одного из граждан этого государства либо такое преступление было его результатом;</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было направлено на совершение преступления, указанного в подпункте</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szCs w:val="20"/>
          <w:lang w:eastAsia="ru-RU"/>
        </w:rPr>
        <w:t>или</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было направлено на совершение преступления, указанного в подпунктах</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szCs w:val="20"/>
          <w:lang w:eastAsia="ru-RU"/>
        </w:rPr>
        <w:t>или</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d)</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совершено лицом без гражданства, которое обычно проживает на территории этого государства;</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е)</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преступление совершено на борту воздушного судна, эксплуатируемого правительством этого государства.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В случае каких-либо изменений соответствующее государство-участник немедленно уведомляет об этом Генерального секретаря.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статье 2, в случаях, когда лицо, предположительно совершившее преступление, находится на его территории и оно не выдает его ни одному из государств-участников, которые установили свою юрисдикцию в соответствии с пунктами 1 или 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lastRenderedPageBreak/>
        <w:t>5. Когда более чем одно государство-участник претендует на юрисдикцию в отношении одного из преступлений, указанных в статье 2,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8</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статье 2, а также поступления, полученные в результате таких преступлений, для целей возможной конфискации.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статье 2, и поступлений, полученных в результате таких преступлений,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подпункте</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szCs w:val="20"/>
          <w:lang w:eastAsia="ru-RU"/>
        </w:rPr>
        <w:t>или</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 статьи 2, или членам их семей.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5. Применение положений настоящей статьи осуществляется при условии соблюдения прав добросовестных третьих лиц.</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9</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Получив информацию о том, что лицо, которое совершило или предположительно совершило преступление, указанное в статье 2,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З. Любое лицо, в отношении которого принимаются меры, указанные в пункте 2 настоящей статьи, имеет право:</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на посещение его представителем этого государства;</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быть информированным о своих правах согласно подпунктам</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и</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szCs w:val="20"/>
          <w:lang w:eastAsia="ru-RU"/>
        </w:rPr>
        <w:t>.</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 xml:space="preserve">4. Права, указанные в пункте 3,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w:t>
      </w:r>
      <w:r w:rsidRPr="00781092">
        <w:rPr>
          <w:rFonts w:ascii="Arial" w:eastAsia="Times New Roman" w:hAnsi="Arial" w:cs="Arial"/>
          <w:color w:val="333333"/>
          <w:sz w:val="20"/>
          <w:szCs w:val="20"/>
          <w:lang w:eastAsia="ru-RU"/>
        </w:rPr>
        <w:lastRenderedPageBreak/>
        <w:t>должны обеспечивать возможность полного достижения целей, для которых предоставляются права согласно пункту 3 настоящей статьи.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5. Положения пунктов 3 и 4 не наносят ущерба праву любого государства-участника, претендующего на юрисдикцию согласно подпункту</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(c)</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1 или подпункту</w:t>
      </w:r>
      <w:r w:rsidRPr="00781092">
        <w:rPr>
          <w:rFonts w:ascii="Arial" w:eastAsia="Times New Roman" w:hAnsi="Arial" w:cs="Arial"/>
          <w:color w:val="333333"/>
          <w:sz w:val="20"/>
          <w:lang w:eastAsia="ru-RU"/>
        </w:rPr>
        <w:t> </w:t>
      </w:r>
      <w:r w:rsidRPr="00781092">
        <w:rPr>
          <w:rFonts w:ascii="Arial" w:eastAsia="Times New Roman" w:hAnsi="Arial" w:cs="Arial"/>
          <w:i/>
          <w:iCs/>
          <w:color w:val="333333"/>
          <w:sz w:val="20"/>
          <w:lang w:eastAsia="ru-RU"/>
        </w:rPr>
        <w:t>(d)</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пункта 2 статьи 7, просить Международный комитет Красного Креста связаться с лицом, предположительно совершившим преступление, и посетить его.</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6. 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пунктам 1 или 2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 Государство, которое проводит расследование согласно пункту 1, оперативно сообщает о его результатах упомянутым государствам-участникам и указывает, намерено ли оно осуществить свою юрисдикцию.</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10</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Государство-участник, на территории которого находится лицо, совершившее или предположительно совершившее преступление, в случаях, к которым применима статья 7,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пункте 1.</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11</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З.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7.</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lastRenderedPageBreak/>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статье 2, включая содействие в получении имеющихся у них доказательств, которые необходимы для разбирательства.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Государства-участники не могут отклонять просьбы о взаимной правовой помощи, ссылаясь на банковскую тайну.</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статье 5.</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5. Государства-участники выполняют свои обязательства по пунктам 1 и 2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13</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Ни одно из преступлений, указанных в статье 2,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14</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Ни одно из преступлений, указанных в статье 2,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15</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lastRenderedPageBreak/>
        <w:t>Статья 16</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статье 2, может быть передано с соблюдением следующих условий: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это лицо свободно дает на то свое согласие на основе полной информации;</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компетентные власти обоих государств достигли согласия на таких условиях, которые эти государства могут счесть приемлемыми.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Для целей настоящей статьи: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d)</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17</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18</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Государства-участники сотрудничают в предупреждении преступлений, указанных в статье 2,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статье 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 xml:space="preserve">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w:t>
      </w:r>
      <w:r w:rsidRPr="00781092">
        <w:rPr>
          <w:rFonts w:ascii="Arial" w:eastAsia="Times New Roman" w:hAnsi="Arial" w:cs="Arial"/>
          <w:color w:val="333333"/>
          <w:sz w:val="20"/>
          <w:szCs w:val="20"/>
          <w:lang w:eastAsia="ru-RU"/>
        </w:rPr>
        <w:lastRenderedPageBreak/>
        <w:t>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 С этой целью государства-участники изучают возможность:</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 лица;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Государства-участники сотрудничают далее в предупреждении преступлений, указанных в статье 2, изучая возможность:</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принятия мер по наблюдению за работой всех агентств, осуществляющих денежные переводы, включая, например, их лицензирование;</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З. Государства-участники сотрудничают далее в предупреждении преступлений, указанных в статье 2,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статье 2, в частности путем:</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статье 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сотрудничества друг с другом в проведении расследований в связи с преступлениями, указанными в статье 2, касающихся: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ii) перемещения финансовых средств, имеющих отношение к совершению таких преступлений.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Государства-участники могут обмениваться информацией через</w:t>
      </w:r>
      <w:r w:rsidRPr="00781092">
        <w:rPr>
          <w:rFonts w:ascii="Arial" w:eastAsia="Times New Roman" w:hAnsi="Arial" w:cs="Arial"/>
          <w:color w:val="333333"/>
          <w:sz w:val="20"/>
          <w:lang w:eastAsia="ru-RU"/>
        </w:rPr>
        <w:t> </w:t>
      </w:r>
      <w:hyperlink r:id="rId15" w:history="1">
        <w:r w:rsidRPr="00781092">
          <w:rPr>
            <w:rFonts w:ascii="Arial" w:eastAsia="Times New Roman" w:hAnsi="Arial" w:cs="Arial"/>
            <w:color w:val="333333"/>
            <w:sz w:val="20"/>
            <w:u w:val="single"/>
            <w:lang w:eastAsia="ru-RU"/>
          </w:rPr>
          <w:t>Международную организацию уголовной полиции</w:t>
        </w:r>
      </w:hyperlink>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(Интерпол).</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19</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 xml:space="preserve">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w:t>
      </w:r>
      <w:r w:rsidRPr="00781092">
        <w:rPr>
          <w:rFonts w:ascii="Arial" w:eastAsia="Times New Roman" w:hAnsi="Arial" w:cs="Arial"/>
          <w:color w:val="333333"/>
          <w:sz w:val="20"/>
          <w:szCs w:val="20"/>
          <w:lang w:eastAsia="ru-RU"/>
        </w:rPr>
        <w:lastRenderedPageBreak/>
        <w:t>секретарю Организации Объединенных Наций, который направляет эту информацию другим государствам-участникам.</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20</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21</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Устава Организации Объединенных Наций, международному гуманитарному праву и другим соответствующим конвенциям.</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22</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23</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В приложение можно вносить поправки посредством добавления договоров, которые:</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а)</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открыты для участия всех государств;</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b)</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вступили в силу;</w:t>
      </w:r>
    </w:p>
    <w:p w:rsidR="00781092" w:rsidRPr="00781092" w:rsidRDefault="00781092" w:rsidP="00781092">
      <w:pPr>
        <w:shd w:val="clear" w:color="auto" w:fill="FFFFFF"/>
        <w:spacing w:line="240" w:lineRule="auto"/>
        <w:jc w:val="both"/>
        <w:rPr>
          <w:rFonts w:ascii="Arial" w:eastAsia="Times New Roman" w:hAnsi="Arial" w:cs="Arial"/>
          <w:color w:val="333333"/>
          <w:sz w:val="20"/>
          <w:szCs w:val="20"/>
          <w:lang w:eastAsia="ru-RU"/>
        </w:rPr>
      </w:pPr>
      <w:r w:rsidRPr="00781092">
        <w:rPr>
          <w:rFonts w:ascii="Arial" w:eastAsia="Times New Roman" w:hAnsi="Arial" w:cs="Arial"/>
          <w:i/>
          <w:iCs/>
          <w:color w:val="333333"/>
          <w:sz w:val="20"/>
          <w:lang w:eastAsia="ru-RU"/>
        </w:rPr>
        <w:t>с)</w:t>
      </w:r>
      <w:r w:rsidRPr="00781092">
        <w:rPr>
          <w:rFonts w:ascii="Arial" w:eastAsia="Times New Roman" w:hAnsi="Arial" w:cs="Arial"/>
          <w:color w:val="333333"/>
          <w:sz w:val="20"/>
          <w:lang w:eastAsia="ru-RU"/>
        </w:rPr>
        <w:t> </w:t>
      </w:r>
      <w:r w:rsidRPr="00781092">
        <w:rPr>
          <w:rFonts w:ascii="Arial" w:eastAsia="Times New Roman" w:hAnsi="Arial" w:cs="Arial"/>
          <w:color w:val="333333"/>
          <w:sz w:val="20"/>
          <w:szCs w:val="20"/>
          <w:lang w:eastAsia="ru-RU"/>
        </w:rPr>
        <w:t>ратифицировали, приняли, одобрили или к которым присоединились по крайней мере двадцать два государства-участника настоящей Конвенции.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пункта 1, все государства-участники и запрашивает их мнение в отношении того, следует ли принимать предлагаемую поправку.</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4. Принятая поправка к приложению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24</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w:t>
      </w:r>
      <w:r w:rsidRPr="00781092">
        <w:rPr>
          <w:rFonts w:ascii="Arial" w:eastAsia="Times New Roman" w:hAnsi="Arial" w:cs="Arial"/>
          <w:color w:val="333333"/>
          <w:sz w:val="20"/>
          <w:szCs w:val="20"/>
          <w:lang w:eastAsia="ru-RU"/>
        </w:rPr>
        <w:lastRenderedPageBreak/>
        <w:t>договориться о его организации, любая из этих сторон может передать спор в</w:t>
      </w:r>
      <w:r w:rsidRPr="00781092">
        <w:rPr>
          <w:rFonts w:ascii="Arial" w:eastAsia="Times New Roman" w:hAnsi="Arial" w:cs="Arial"/>
          <w:color w:val="333333"/>
          <w:sz w:val="20"/>
          <w:lang w:eastAsia="ru-RU"/>
        </w:rPr>
        <w:t> </w:t>
      </w:r>
      <w:hyperlink r:id="rId16" w:history="1">
        <w:r w:rsidRPr="00781092">
          <w:rPr>
            <w:rFonts w:ascii="Arial" w:eastAsia="Times New Roman" w:hAnsi="Arial" w:cs="Arial"/>
            <w:color w:val="333333"/>
            <w:sz w:val="20"/>
            <w:u w:val="single"/>
            <w:lang w:eastAsia="ru-RU"/>
          </w:rPr>
          <w:t>Международный Суд</w:t>
        </w:r>
      </w:hyperlink>
      <w:r w:rsidRPr="00781092">
        <w:rPr>
          <w:rFonts w:ascii="Arial" w:eastAsia="Times New Roman" w:hAnsi="Arial" w:cs="Arial"/>
          <w:color w:val="333333"/>
          <w:sz w:val="20"/>
          <w:szCs w:val="20"/>
          <w:lang w:eastAsia="ru-RU"/>
        </w:rPr>
        <w:t>, обратившись с заявлением в соответствии со Статутом Суда.</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З.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25</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26</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27</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2. Денонсация вступает в силу по истечении одного года с даты получения уведомления Генеральным секретарем Организации Объединенных Наций.</w:t>
      </w:r>
    </w:p>
    <w:p w:rsidR="00781092" w:rsidRPr="00781092" w:rsidRDefault="00781092" w:rsidP="00781092">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81092">
        <w:rPr>
          <w:rFonts w:ascii="Arial" w:eastAsia="Times New Roman" w:hAnsi="Arial" w:cs="Arial"/>
          <w:color w:val="000000"/>
          <w:sz w:val="23"/>
          <w:szCs w:val="23"/>
          <w:lang w:eastAsia="ru-RU"/>
        </w:rPr>
        <w:t>Статья 28</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781092" w:rsidRPr="00781092" w:rsidRDefault="00781092" w:rsidP="00781092">
      <w:pPr>
        <w:shd w:val="clear" w:color="auto" w:fill="FFFFFF"/>
        <w:spacing w:after="240" w:line="240" w:lineRule="auto"/>
        <w:jc w:val="both"/>
        <w:rPr>
          <w:rFonts w:ascii="Arial" w:eastAsia="Times New Roman" w:hAnsi="Arial" w:cs="Arial"/>
          <w:color w:val="333333"/>
          <w:sz w:val="20"/>
          <w:szCs w:val="20"/>
          <w:lang w:eastAsia="ru-RU"/>
        </w:rPr>
      </w:pPr>
      <w:r w:rsidRPr="00781092">
        <w:rPr>
          <w:rFonts w:ascii="Arial" w:eastAsia="Times New Roman" w:hAnsi="Arial" w:cs="Arial"/>
          <w:color w:val="333333"/>
          <w:sz w:val="20"/>
          <w:szCs w:val="20"/>
          <w:lang w:eastAsia="ru-RU"/>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9B39FF" w:rsidRDefault="009B39FF"/>
    <w:sectPr w:rsidR="009B39FF" w:rsidSect="009B3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1092"/>
    <w:rsid w:val="005A7C61"/>
    <w:rsid w:val="00781092"/>
    <w:rsid w:val="009B39FF"/>
    <w:rsid w:val="00A7192B"/>
    <w:rsid w:val="00F02CBB"/>
    <w:rsid w:val="00F9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FF"/>
  </w:style>
  <w:style w:type="paragraph" w:styleId="2">
    <w:name w:val="heading 2"/>
    <w:basedOn w:val="a"/>
    <w:link w:val="20"/>
    <w:uiPriority w:val="9"/>
    <w:qFormat/>
    <w:rsid w:val="007810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0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10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092"/>
    <w:rPr>
      <w:rFonts w:ascii="Times New Roman" w:eastAsia="Times New Roman" w:hAnsi="Times New Roman" w:cs="Times New Roman"/>
      <w:b/>
      <w:bCs/>
      <w:sz w:val="27"/>
      <w:szCs w:val="27"/>
      <w:lang w:eastAsia="ru-RU"/>
    </w:rPr>
  </w:style>
  <w:style w:type="paragraph" w:customStyle="1" w:styleId="info">
    <w:name w:val="info"/>
    <w:basedOn w:val="a"/>
    <w:rsid w:val="0078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1092"/>
  </w:style>
  <w:style w:type="character" w:styleId="a3">
    <w:name w:val="Hyperlink"/>
    <w:basedOn w:val="a0"/>
    <w:uiPriority w:val="99"/>
    <w:semiHidden/>
    <w:unhideWhenUsed/>
    <w:rsid w:val="00781092"/>
    <w:rPr>
      <w:color w:val="0000FF"/>
      <w:u w:val="single"/>
    </w:rPr>
  </w:style>
  <w:style w:type="paragraph" w:styleId="a4">
    <w:name w:val="Normal (Web)"/>
    <w:basedOn w:val="a"/>
    <w:uiPriority w:val="99"/>
    <w:semiHidden/>
    <w:unhideWhenUsed/>
    <w:rsid w:val="0078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1092"/>
    <w:rPr>
      <w:i/>
      <w:iCs/>
    </w:rPr>
  </w:style>
</w:styles>
</file>

<file path=word/webSettings.xml><?xml version="1.0" encoding="utf-8"?>
<w:webSettings xmlns:r="http://schemas.openxmlformats.org/officeDocument/2006/relationships" xmlns:w="http://schemas.openxmlformats.org/wordprocessingml/2006/main">
  <w:divs>
    <w:div w:id="1138915110">
      <w:bodyDiv w:val="1"/>
      <w:marLeft w:val="0"/>
      <w:marRight w:val="0"/>
      <w:marTop w:val="0"/>
      <w:marBottom w:val="0"/>
      <w:divBdr>
        <w:top w:val="none" w:sz="0" w:space="0" w:color="auto"/>
        <w:left w:val="none" w:sz="0" w:space="0" w:color="auto"/>
        <w:bottom w:val="none" w:sz="0" w:space="0" w:color="auto"/>
        <w:right w:val="none" w:sz="0" w:space="0" w:color="auto"/>
      </w:divBdr>
      <w:divsChild>
        <w:div w:id="275217357">
          <w:blockQuote w:val="1"/>
          <w:marLeft w:val="240"/>
          <w:marRight w:val="240"/>
          <w:marTop w:val="240"/>
          <w:marBottom w:val="240"/>
          <w:divBdr>
            <w:top w:val="none" w:sz="0" w:space="0" w:color="auto"/>
            <w:left w:val="none" w:sz="0" w:space="0" w:color="auto"/>
            <w:bottom w:val="none" w:sz="0" w:space="0" w:color="auto"/>
            <w:right w:val="none" w:sz="0" w:space="0" w:color="auto"/>
          </w:divBdr>
        </w:div>
        <w:div w:id="541483755">
          <w:blockQuote w:val="1"/>
          <w:marLeft w:val="240"/>
          <w:marRight w:val="240"/>
          <w:marTop w:val="240"/>
          <w:marBottom w:val="240"/>
          <w:divBdr>
            <w:top w:val="none" w:sz="0" w:space="0" w:color="auto"/>
            <w:left w:val="none" w:sz="0" w:space="0" w:color="auto"/>
            <w:bottom w:val="none" w:sz="0" w:space="0" w:color="auto"/>
            <w:right w:val="none" w:sz="0" w:space="0" w:color="auto"/>
          </w:divBdr>
        </w:div>
        <w:div w:id="21191388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350278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89272487">
          <w:blockQuote w:val="1"/>
          <w:marLeft w:val="240"/>
          <w:marRight w:val="240"/>
          <w:marTop w:val="240"/>
          <w:marBottom w:val="240"/>
          <w:divBdr>
            <w:top w:val="none" w:sz="0" w:space="0" w:color="auto"/>
            <w:left w:val="none" w:sz="0" w:space="0" w:color="auto"/>
            <w:bottom w:val="none" w:sz="0" w:space="0" w:color="auto"/>
            <w:right w:val="none" w:sz="0" w:space="0" w:color="auto"/>
          </w:divBdr>
        </w:div>
        <w:div w:id="518394312">
          <w:blockQuote w:val="1"/>
          <w:marLeft w:val="240"/>
          <w:marRight w:val="240"/>
          <w:marTop w:val="240"/>
          <w:marBottom w:val="240"/>
          <w:divBdr>
            <w:top w:val="none" w:sz="0" w:space="0" w:color="auto"/>
            <w:left w:val="none" w:sz="0" w:space="0" w:color="auto"/>
            <w:bottom w:val="none" w:sz="0" w:space="0" w:color="auto"/>
            <w:right w:val="none" w:sz="0" w:space="0" w:color="auto"/>
          </w:divBdr>
        </w:div>
        <w:div w:id="898591137">
          <w:blockQuote w:val="1"/>
          <w:marLeft w:val="240"/>
          <w:marRight w:val="240"/>
          <w:marTop w:val="240"/>
          <w:marBottom w:val="240"/>
          <w:divBdr>
            <w:top w:val="none" w:sz="0" w:space="0" w:color="auto"/>
            <w:left w:val="none" w:sz="0" w:space="0" w:color="auto"/>
            <w:bottom w:val="none" w:sz="0" w:space="0" w:color="auto"/>
            <w:right w:val="none" w:sz="0" w:space="0" w:color="auto"/>
          </w:divBdr>
        </w:div>
        <w:div w:id="1977030673">
          <w:blockQuote w:val="1"/>
          <w:marLeft w:val="240"/>
          <w:marRight w:val="240"/>
          <w:marTop w:val="240"/>
          <w:marBottom w:val="240"/>
          <w:divBdr>
            <w:top w:val="none" w:sz="0" w:space="0" w:color="auto"/>
            <w:left w:val="none" w:sz="0" w:space="0" w:color="auto"/>
            <w:bottom w:val="none" w:sz="0" w:space="0" w:color="auto"/>
            <w:right w:val="none" w:sz="0" w:space="0" w:color="auto"/>
          </w:divBdr>
        </w:div>
        <w:div w:id="1488277178">
          <w:blockQuote w:val="1"/>
          <w:marLeft w:val="240"/>
          <w:marRight w:val="240"/>
          <w:marTop w:val="240"/>
          <w:marBottom w:val="240"/>
          <w:divBdr>
            <w:top w:val="none" w:sz="0" w:space="0" w:color="auto"/>
            <w:left w:val="none" w:sz="0" w:space="0" w:color="auto"/>
            <w:bottom w:val="none" w:sz="0" w:space="0" w:color="auto"/>
            <w:right w:val="none" w:sz="0" w:space="0" w:color="auto"/>
          </w:divBdr>
        </w:div>
        <w:div w:id="1219243327">
          <w:blockQuote w:val="1"/>
          <w:marLeft w:val="240"/>
          <w:marRight w:val="240"/>
          <w:marTop w:val="240"/>
          <w:marBottom w:val="240"/>
          <w:divBdr>
            <w:top w:val="none" w:sz="0" w:space="0" w:color="auto"/>
            <w:left w:val="none" w:sz="0" w:space="0" w:color="auto"/>
            <w:bottom w:val="none" w:sz="0" w:space="0" w:color="auto"/>
            <w:right w:val="none" w:sz="0" w:space="0" w:color="auto"/>
          </w:divBdr>
        </w:div>
        <w:div w:id="2507034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336082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10803578">
          <w:blockQuote w:val="1"/>
          <w:marLeft w:val="240"/>
          <w:marRight w:val="240"/>
          <w:marTop w:val="240"/>
          <w:marBottom w:val="240"/>
          <w:divBdr>
            <w:top w:val="none" w:sz="0" w:space="0" w:color="auto"/>
            <w:left w:val="none" w:sz="0" w:space="0" w:color="auto"/>
            <w:bottom w:val="none" w:sz="0" w:space="0" w:color="auto"/>
            <w:right w:val="none" w:sz="0" w:space="0" w:color="auto"/>
          </w:divBdr>
        </w:div>
        <w:div w:id="16669321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19770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25088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9/60" TargetMode="External"/><Relationship Id="rId13" Type="http://schemas.openxmlformats.org/officeDocument/2006/relationships/hyperlink" Target="http://www.un.org/ru/documents/ods.asp?m=A/RES/52/16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ods.asp?m=A/RES/50/6" TargetMode="External"/><Relationship Id="rId12" Type="http://schemas.openxmlformats.org/officeDocument/2006/relationships/hyperlink" Target="http://www.un.org/ru/documents/ods.asp?m=A/RES/51/2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icj/" TargetMode="External"/><Relationship Id="rId1" Type="http://schemas.openxmlformats.org/officeDocument/2006/relationships/styles" Target="styles.xml"/><Relationship Id="rId6" Type="http://schemas.openxmlformats.org/officeDocument/2006/relationships/hyperlink" Target="http://www.un.org/ru/documents/decl_conv/declarations/50anniv.shtml" TargetMode="External"/><Relationship Id="rId11" Type="http://schemas.openxmlformats.org/officeDocument/2006/relationships/hyperlink" Target="http://www.un.org/ru/terrorism/" TargetMode="External"/><Relationship Id="rId5" Type="http://schemas.openxmlformats.org/officeDocument/2006/relationships/hyperlink" Target="http://www.un.org/ru/documents/charter/" TargetMode="External"/><Relationship Id="rId15" Type="http://schemas.openxmlformats.org/officeDocument/2006/relationships/hyperlink" Target="http://www.interpol.int/Public/Terrorism/default.asp" TargetMode="External"/><Relationship Id="rId10" Type="http://schemas.openxmlformats.org/officeDocument/2006/relationships/hyperlink" Target="http://www.un.org/ru/members/" TargetMode="External"/><Relationship Id="rId4" Type="http://schemas.openxmlformats.org/officeDocument/2006/relationships/hyperlink" Target="http://www.un.org/ru/documents/ods.asp?m=A/RES/54/109" TargetMode="External"/><Relationship Id="rId9" Type="http://schemas.openxmlformats.org/officeDocument/2006/relationships/hyperlink" Target="http://www.un.org/ru/documents/decl_conv/declarations/terrdec1.shtml" TargetMode="External"/><Relationship Id="rId14" Type="http://schemas.openxmlformats.org/officeDocument/2006/relationships/hyperlink" Target="http://www.un.org/ru/documents/ods.asp?m=A/RES/5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5428</Words>
  <Characters>30941</Characters>
  <Application>Microsoft Office Word</Application>
  <DocSecurity>0</DocSecurity>
  <Lines>257</Lines>
  <Paragraphs>72</Paragraphs>
  <ScaleCrop>false</ScaleCrop>
  <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2015-10-07T11:03:00Z</dcterms:created>
  <dcterms:modified xsi:type="dcterms:W3CDTF">2015-10-07T11:03:00Z</dcterms:modified>
</cp:coreProperties>
</file>